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Financial Hardship Language approved by Board for addition to Policies at April 2017 Board meeting.</w:t>
      </w:r>
    </w:p>
    <w:p w:rsidR="00000000" w:rsidDel="00000000" w:rsidP="00000000" w:rsidRDefault="00000000" w:rsidRPr="00000000" w14:paraId="0000000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alibri" w:cs="Calibri" w:eastAsia="Calibri" w:hAnsi="Calibri"/>
          <w:sz w:val="24"/>
          <w:szCs w:val="24"/>
          <w:highlight w:val="white"/>
          <w:rtl w:val="0"/>
        </w:rPr>
        <w:t xml:space="preserve">“If a family in experiencing unexpected financial hardship, they can apply to be considered for a payment plan. Individual payment plans require approval of both the Director and Finance Committee as well as documentation of financial hardship. Participation in Care4Kids or other financial assistance programs may count as documentation.”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